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07" w:rsidRDefault="00896EE7" w:rsidP="00FB7F07">
      <w:pPr>
        <w:spacing w:after="0" w:line="240" w:lineRule="auto"/>
        <w:jc w:val="center"/>
        <w:textAlignment w:val="baseline"/>
        <w:outlineLvl w:val="1"/>
        <w:rPr>
          <w:rFonts w:ascii="Noto Serif" w:eastAsia="Times New Roman" w:hAnsi="Noto Serif"/>
          <w:b/>
          <w:bCs/>
          <w:color w:val="333333"/>
          <w:sz w:val="32"/>
          <w:szCs w:val="32"/>
        </w:rPr>
      </w:pPr>
      <w:bookmarkStart w:id="0" w:name="_GoBack"/>
      <w:r w:rsidRPr="00FB7F07">
        <w:rPr>
          <w:rFonts w:ascii="Noto Serif" w:eastAsia="Times New Roman" w:hAnsi="Noto Serif"/>
          <w:b/>
          <w:bCs/>
          <w:color w:val="333333"/>
          <w:sz w:val="32"/>
          <w:szCs w:val="32"/>
        </w:rPr>
        <w:t xml:space="preserve">Trình tự, thủ tục bồi thường, hỗ trợ, tái định cư, thu hồi đất </w:t>
      </w:r>
    </w:p>
    <w:p w:rsidR="00FB7F07" w:rsidRDefault="00896EE7" w:rsidP="00FB7F07">
      <w:pPr>
        <w:spacing w:after="0" w:line="240" w:lineRule="auto"/>
        <w:jc w:val="center"/>
        <w:textAlignment w:val="baseline"/>
        <w:outlineLvl w:val="1"/>
        <w:rPr>
          <w:rFonts w:ascii="Noto Serif" w:eastAsia="Times New Roman" w:hAnsi="Noto Serif"/>
          <w:b/>
          <w:bCs/>
          <w:color w:val="333333"/>
          <w:sz w:val="32"/>
          <w:szCs w:val="32"/>
        </w:rPr>
      </w:pPr>
      <w:r w:rsidRPr="00FB7F07">
        <w:rPr>
          <w:rFonts w:ascii="Noto Serif" w:eastAsia="Times New Roman" w:hAnsi="Noto Serif"/>
          <w:b/>
          <w:bCs/>
          <w:color w:val="333333"/>
          <w:sz w:val="32"/>
          <w:szCs w:val="32"/>
        </w:rPr>
        <w:t>vì mục đích quốc phòng, an ninh; phát triển kinh tế - xã hội</w:t>
      </w:r>
    </w:p>
    <w:p w:rsidR="00896EE7" w:rsidRDefault="00896EE7" w:rsidP="00FB7F07">
      <w:pPr>
        <w:spacing w:after="0" w:line="240" w:lineRule="auto"/>
        <w:jc w:val="center"/>
        <w:textAlignment w:val="baseline"/>
        <w:outlineLvl w:val="1"/>
        <w:rPr>
          <w:rFonts w:ascii="Noto Serif" w:eastAsia="Times New Roman" w:hAnsi="Noto Serif"/>
          <w:b/>
          <w:bCs/>
          <w:color w:val="333333"/>
          <w:sz w:val="45"/>
          <w:szCs w:val="45"/>
        </w:rPr>
      </w:pPr>
      <w:r w:rsidRPr="00FB7F07">
        <w:rPr>
          <w:rFonts w:ascii="Noto Serif" w:eastAsia="Times New Roman" w:hAnsi="Noto Serif"/>
          <w:b/>
          <w:bCs/>
          <w:color w:val="333333"/>
          <w:sz w:val="32"/>
          <w:szCs w:val="32"/>
        </w:rPr>
        <w:t xml:space="preserve"> vì lợi ích quốc gia, công cộng</w:t>
      </w:r>
      <w:bookmarkEnd w:id="0"/>
      <w:r>
        <w:rPr>
          <w:rFonts w:ascii="Noto Serif" w:eastAsia="Times New Roman" w:hAnsi="Noto Serif"/>
          <w:b/>
          <w:bCs/>
          <w:color w:val="333333"/>
          <w:sz w:val="45"/>
          <w:szCs w:val="45"/>
        </w:rPr>
        <w:t>.</w:t>
      </w:r>
    </w:p>
    <w:p w:rsidR="00896EE7" w:rsidRPr="00C614A2" w:rsidRDefault="007D263B" w:rsidP="00C614A2">
      <w:pPr>
        <w:spacing w:before="120" w:after="120" w:line="288" w:lineRule="auto"/>
        <w:ind w:firstLine="720"/>
        <w:jc w:val="both"/>
        <w:textAlignment w:val="baseline"/>
        <w:outlineLvl w:val="1"/>
        <w:rPr>
          <w:rFonts w:eastAsia="Times New Roman"/>
          <w:b/>
          <w:bCs/>
          <w:color w:val="333333"/>
          <w:szCs w:val="28"/>
        </w:rPr>
      </w:pPr>
      <w:r w:rsidRPr="00C614A2">
        <w:rPr>
          <w:color w:val="212529"/>
          <w:szCs w:val="28"/>
          <w:shd w:val="clear" w:color="auto" w:fill="FFFFFF"/>
        </w:rPr>
        <w:t>Ngày 18 tháng 01 năm 2024, tại kỳ họp bất thường lần thứ 5 Quốc hội khóa XV, Quốc hội đã biểu quyết thông qua Luật Đất đai (Luật số 31/2024/QH15). Đây là sự kiện quan trọng đánh dấu những đổi mới về chính sách, pháp luật đất đai theo tinh thần Nghị quyết số 18-NQ/TW ngày 16/6/2022 của Ban chấp hành Trung ương Đảng khóa XIII về tiếp tục đổi mới, hoàn thiện thể chế, chính sách, nâng cao hiệu lực, hiệu quả quản lý và sử dụng đất, tạo động lực đưa nước ta trở thành nước phát triển có thu nhập cao. Luật Đất đai năm 2024 gồm 16 chương với 260 điều, trong đó sửa đổi, bổ sung 180/212 điều của Luật Đất đai năm 2013 và bổ sung mới 78 điều</w:t>
      </w:r>
      <w:r w:rsidR="00C614A2" w:rsidRPr="00C614A2">
        <w:rPr>
          <w:color w:val="212529"/>
          <w:szCs w:val="28"/>
          <w:shd w:val="clear" w:color="auto" w:fill="FFFFFF"/>
        </w:rPr>
        <w:t xml:space="preserve">. Trong đó nội dung liên quan đến Trình tự, thu tục bồi thường, hỗ trợ, tái định cư </w:t>
      </w:r>
      <w:r w:rsidR="00C614A2" w:rsidRPr="00C614A2">
        <w:rPr>
          <w:szCs w:val="28"/>
        </w:rPr>
        <w:t>thu hồi đất vì mục đích quốc phòng, an ninh, phát triển kinh tế - xã hội vì lợi ích quốc gia, công cộng được quy định tại Điều 87 Luật Đât đai năm 2024 với nhiều nội điểm mới được sửa đổi, bổ sung so với Luật Đất đai năm 2013</w:t>
      </w:r>
    </w:p>
    <w:p w:rsidR="00896EE7" w:rsidRPr="00C614A2" w:rsidRDefault="00896EE7" w:rsidP="00C614A2">
      <w:pPr>
        <w:pStyle w:val="Heading4"/>
        <w:spacing w:before="120" w:after="120" w:line="288" w:lineRule="auto"/>
        <w:ind w:firstLine="720"/>
        <w:jc w:val="both"/>
        <w:textAlignment w:val="baseline"/>
        <w:rPr>
          <w:rFonts w:ascii="Times New Roman" w:hAnsi="Times New Roman" w:cs="Times New Roman"/>
          <w:b w:val="0"/>
          <w:color w:val="333333"/>
          <w:szCs w:val="28"/>
        </w:rPr>
      </w:pPr>
      <w:r w:rsidRPr="00C614A2">
        <w:rPr>
          <w:rFonts w:ascii="Times New Roman" w:hAnsi="Times New Roman" w:cs="Times New Roman"/>
          <w:b w:val="0"/>
          <w:color w:val="333333"/>
          <w:szCs w:val="28"/>
        </w:rPr>
        <w:t>Trước khi thông báo thu hồi đất được ban hành, Ủy ban nhân dân cấp xã nơi có đất thu hồi chủ trì phối hợp với Ủy ban Mặt trận Tổ quốc Việt Nam cùng cấp, đơn vị, tổ chức thực hiện nhiệm vụ bồi thường, hỗ trợ, tái định cư và các cơ quan có liên quan, tổ chức họp với người có đất trong khu vực thu hồi để phổ biến, tiếp nhận ý kiến về các nội dung sau đây:</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 xml:space="preserve"> Mục đích, ý nghĩa, tầm quan trọng của dự án, công trình được triển khai trên vùng đất dự kiến thu hồi;</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Các quy định của Nhà nước về chính sách bồi thường, hỗ trợ, tái định cư khi thu hồi đất;</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Dự kiến nội dung kế hoạch bồi thường, hỗ trợ, tái định cư;</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Dự kiến khu vực tái định cư trong trường hợp người có đất thu hồi được bố trí tái định cư.</w:t>
      </w:r>
    </w:p>
    <w:p w:rsidR="00896EE7" w:rsidRPr="00FC5907" w:rsidRDefault="00896EE7" w:rsidP="00C614A2">
      <w:pPr>
        <w:pStyle w:val="Heading4"/>
        <w:spacing w:before="120" w:after="120" w:line="288" w:lineRule="auto"/>
        <w:ind w:firstLine="720"/>
        <w:jc w:val="both"/>
        <w:textAlignment w:val="baseline"/>
        <w:rPr>
          <w:rFonts w:ascii="Times New Roman" w:hAnsi="Times New Roman" w:cs="Times New Roman"/>
          <w:b w:val="0"/>
          <w:color w:val="333333"/>
          <w:szCs w:val="28"/>
        </w:rPr>
      </w:pPr>
      <w:r w:rsidRPr="00FC5907">
        <w:rPr>
          <w:rFonts w:ascii="Times New Roman" w:hAnsi="Times New Roman" w:cs="Times New Roman"/>
          <w:b w:val="0"/>
          <w:color w:val="333333"/>
          <w:szCs w:val="28"/>
        </w:rPr>
        <w:t>Việc thực hiện kế hoạch thu hồi đất, điều tra, khảo sát, đo đạc, kiểm đếm được quy định như sau:</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Ủy ban nhân dân cấp có thẩm quyền thu hồi đất ban hành thông báo thu hồi đất;</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 xml:space="preserve">Ủy ban nhân dân cấp xã nơi có đất thu hồi gửi thông báo thu hồi đất đến từng người có đất thu hồi, chủ sở hữu tài sản gắn liền với đất, người có quyền lợi và nghĩa vụ liên quan (nếu có), đồng thời niêm yết thông báo thu hồi đất và danh </w:t>
      </w:r>
      <w:r w:rsidRPr="00C614A2">
        <w:rPr>
          <w:color w:val="333333"/>
          <w:sz w:val="28"/>
          <w:szCs w:val="28"/>
        </w:rPr>
        <w:lastRenderedPageBreak/>
        <w:t>sách người có đất thu hồi trên địa bàn quản lý tại trụ sở Ủy ban nhân dân cấp xã và địa điểm sinh hoạt chung của khu dân cư nơi có đất thu hồi trong suốt thời gian bồi thường, hỗ trợ, tái định cư.</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Trường hợp không liên lạc được, không gửi được thông báo thu hồi đất cho người có đất thu hồi, chủ sở hữu tài sản gắn liền với đất, người có quyền lợi và nghĩa vụ liên quan (nếu có) thì thông báo trên một trong các báo hàng ngày của trung ương và cấp tỉnh trong 03 số liên tiếp và phát sóng trên đài phát thanh hoặc truyền hình của trung ương và cấp tỉnh 03 lần trong 03 ngày liên tiếp; niêm yết tại trụ sở Ủy ban nhân dân cấp xã, địa điểm sinh hoạt chung của khu dân cư nơi có đất thu hồi, đăng tải lên Cổng thông tin điện tử của Ủy ban nhân dân cấp huyện trong suốt thời gian bồi thường, hỗ trợ, tái định cư mà không phải gửi thông báo thu hồi đất lại;</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Ủy ban nhân dân cấp xã nơi có đất thu hồi phối hợp với đơn vị, tổ chức thực hiện nhiệm vụ bồi thường, hỗ trợ, tái định cư, các cơ quan có liên quan và người có đất thu hồi thực hiện việc điều tra, khảo sát, ghi nhận hiện trạng, đo đạc, kiểm đếm, thống kê, phân loại diện tích đất thu hồi và tài sản gắn liền với đất thu hồi; xác định nguồn gốc đất thu hồi và tài sản gắn liền với đất thu hồi;</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Ủy ban nhân dân cấp xã nơi có đất thu hồi phối hợp với đơn vị, tổ chức thực hiện nhiệm vụ bồi thường, hỗ trợ, tái định cư điều tra, xác định, thống kê đầy đủ các thiệt hại thực tế về quyền sử dụng đất và tài sản gắn liền với đất thu hồi; xác định người có quyền lợi và nghĩa vụ liên quan; thu nhập từ việc sử dụng đất, tài sản gắn liền với đất thu hồi, nguyện vọng tái định cư, chuyển đổi nghề;</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Trường hợp người có đất thu hồi không phối hợp trong việc điều tra, khảo sát, đo đạc, kiểm đếm thì Ủy ban nhân dân cấp xã chủ trì, phối hợp với Ủy ban Mặt trận Tổ quốc Việt Nam cấp xã nơi có đất thu hồi và đơn vị, tổ chức thực hiện nhiệm vụ bồi thường, hỗ trợ, tái định cư vận động, thuyết phục để tạo sự đồng thuận trong thực hiện.</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Việc tổ chức vận động, thuyết phục được tiến hành trong thời gian 15 ngày và phải được thể hiện bằng văn bản. Quá thời hạn 10 ngày kể từ ngày kết thúc vận động, thuyết phục mà người có đất thu hồi vẫn không phối hợp điều tra, khảo sát, đo đạc, kiểm đếm thì Chủ tịch Ủy ban nhân dân cấp huyện ban hành quyết định kiểm đếm bắt buộc. Người có đất thu hồi có trách nhiệm thực hiện quyết định kiểm đếm bắt buộc, nếu không chấp hành thì Chủ tịch Ủy ban nhân dân cấp huyện ban hành quyết định cưỡng chế thực hiện quyết định kiểm đếm bắt buộc và tổ chức thực hiện cưỡng chế theo quy định tại Điều 88 của Luật này.</w:t>
      </w:r>
    </w:p>
    <w:p w:rsidR="00896EE7" w:rsidRPr="00C614A2" w:rsidRDefault="00896EE7" w:rsidP="00C614A2">
      <w:pPr>
        <w:pStyle w:val="Heading4"/>
        <w:spacing w:before="120" w:after="120" w:line="288" w:lineRule="auto"/>
        <w:ind w:firstLine="720"/>
        <w:jc w:val="both"/>
        <w:textAlignment w:val="baseline"/>
        <w:rPr>
          <w:rFonts w:ascii="Times New Roman" w:hAnsi="Times New Roman" w:cs="Times New Roman"/>
          <w:color w:val="333333"/>
          <w:szCs w:val="28"/>
        </w:rPr>
      </w:pPr>
      <w:r w:rsidRPr="00C614A2">
        <w:rPr>
          <w:rFonts w:ascii="Times New Roman" w:hAnsi="Times New Roman" w:cs="Times New Roman"/>
          <w:color w:val="333333"/>
          <w:szCs w:val="28"/>
        </w:rPr>
        <w:lastRenderedPageBreak/>
        <w:t>Việc lập, thẩm định, phê duyệt phương án bồi thường, hỗ trợ, tái định cư được quy định như sau:</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Đơn vị, tổ chức thực hiện nhiệm vụ bồi thường, hỗ trợ, tái định cư có trách nhiệm lập phương án bồi thường, hỗ trợ, tái định cư và phối hợp với Ủy ban nhân dân cấp xã nơi có đất thu hồi niêm yết công khai phương án bồi thường, hỗ trợ, tái định cư tại trụ sở Ủy ban nhân dân cấp xã, địa điểm sinh hoạt chung của khu dân cư nơi có đất thu hồi trong thời hạn 30 ngày. Ngay sau khi hết thời hạn niêm yết công khai, tổ chức lấy ý kiến về phương án bồi thường, hỗ trợ, tái định cư theo hình thức tổ chức họp trực tiếp với người dân trong khu vực có đất thu hồi. Trường hợp người có đất thu hồi, chủ sở hữu tài sản không tham gia họp trực tiếp có lý do chính đáng thì gửi ý kiến bằng văn bản.</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Việc tổ chức lấy ý kiến phải được lập thành biên bản, ghi rõ số lượng ý kiến đồng ý, số lượng ý kiến không đồng ý, số lượng ý kiến khác đối với phương án bồi thường, hỗ trợ, tái định cư; tiếp thu, giải trình ý kiến góp ý; có xác nhận của đại diện Ủy ban nhân dân cấp xã, đại diện những người có đất thu hồi.</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Trong thời hạn 60 ngày kể từ ngày tổ chức lấy ý kiến, đơn vị, tổ chức thực hiện nhiệm vụ bồi thường, hỗ trợ, tái định cư có trách nhiệm phối hợp với Ủy ban nhân dân cấp xã nơi có đất thu hồi tổ chức đối thoại trong trường hợp còn có ý kiến không đồng ý về phương án bồi thường, hỗ trợ, tái định cư; đơn vị, tổ chức thực hiện nhiệm vụ bồi thường, hỗ trợ, tái định cư tiếp thu, giải trình ý kiến góp ý về dự thảo phương án bồi thường, hỗ trợ tái định cư; hoàn chỉnh phương án trình cơ quan có thẩm quyền;</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Phương án bồi thường, hỗ trợ, tái định cư phải được thẩm định trước khi trình Ủy ban nhân dân cấp có thẩm quyền quyết định thu hồi đất;</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Ủy ban nhân dân cấp có thẩm quyền thu hồi đất quyết định phê duyệt phương án bồi thường, hỗ trợ, tái định cư.</w:t>
      </w:r>
    </w:p>
    <w:p w:rsidR="00896EE7" w:rsidRPr="00C614A2" w:rsidRDefault="00896EE7" w:rsidP="00C614A2">
      <w:pPr>
        <w:pStyle w:val="Heading4"/>
        <w:spacing w:before="120" w:after="120" w:line="288" w:lineRule="auto"/>
        <w:jc w:val="both"/>
        <w:textAlignment w:val="baseline"/>
        <w:rPr>
          <w:rFonts w:ascii="Times New Roman" w:hAnsi="Times New Roman" w:cs="Times New Roman"/>
          <w:color w:val="333333"/>
          <w:szCs w:val="28"/>
        </w:rPr>
      </w:pPr>
      <w:r w:rsidRPr="00C614A2">
        <w:rPr>
          <w:rFonts w:ascii="Times New Roman" w:hAnsi="Times New Roman" w:cs="Times New Roman"/>
          <w:color w:val="333333"/>
          <w:szCs w:val="28"/>
        </w:rPr>
        <w:t> </w:t>
      </w:r>
      <w:r w:rsidRPr="00C614A2">
        <w:rPr>
          <w:rFonts w:ascii="Times New Roman" w:hAnsi="Times New Roman" w:cs="Times New Roman"/>
          <w:color w:val="333333"/>
          <w:szCs w:val="28"/>
        </w:rPr>
        <w:tab/>
        <w:t>Đơn vị, tổ chức thực hiện nhiệm vụ bồi thường, hỗ trợ, tái định cư có trách nhiệm sau đây:</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Phối hợp với Ủy ban nhân dân cấp xã phổ biến, niêm yết công khai quyết định phê duyệt phương án bồi thường, hỗ trợ, tái định cư tại trụ sở Ủy ban nhân dân cấp xã và địa điểm sinh hoạt chung của khu dân cư nơi có đất thu hồi;</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 xml:space="preserve">Gửi phương án bồi thường, hỗ trợ, tái định cư đã được cơ quan có thẩm quyền phê duyệt đến từng người có đất thu hồi, chủ sở hữu tài sản gắn liền với đất, người có quyền lợi và nghĩa vụ liên quan trong đó ghi rõ về mức bồi thường, hỗ trợ, bố trí nhà hoặc đất tái định cư (nếu có), thời gian, địa điểm chi trả tiền bồi </w:t>
      </w:r>
      <w:r w:rsidRPr="00C614A2">
        <w:rPr>
          <w:color w:val="333333"/>
          <w:sz w:val="28"/>
          <w:szCs w:val="28"/>
        </w:rPr>
        <w:lastRenderedPageBreak/>
        <w:t>thường, hỗ trợ; thời gian bố trí nhà hoặc đất tái định cư (nếu có) và thời gian bàn giao đất đã thu hồi cho đơn vị, tổ chức thực hiện nhiệm vụ bồi thường, hỗ trợ, tái định cư;</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Thực hiện việc bồi thường, hỗ trợ, bố trí tái định cư theo phương án bồi thường, hỗ trợ, tái định cư đã được cơ quan có thẩm quyền phê duyệt.</w:t>
      </w:r>
    </w:p>
    <w:p w:rsidR="00896EE7" w:rsidRPr="00C614A2" w:rsidRDefault="00896EE7" w:rsidP="00C614A2">
      <w:pPr>
        <w:pStyle w:val="Heading4"/>
        <w:spacing w:before="120" w:after="120" w:line="288" w:lineRule="auto"/>
        <w:ind w:firstLine="720"/>
        <w:jc w:val="both"/>
        <w:textAlignment w:val="baseline"/>
        <w:rPr>
          <w:rFonts w:ascii="Times New Roman" w:hAnsi="Times New Roman" w:cs="Times New Roman"/>
          <w:color w:val="333333"/>
          <w:szCs w:val="28"/>
        </w:rPr>
      </w:pPr>
      <w:r w:rsidRPr="00C614A2">
        <w:rPr>
          <w:rFonts w:ascii="Times New Roman" w:hAnsi="Times New Roman" w:cs="Times New Roman"/>
          <w:color w:val="333333"/>
          <w:szCs w:val="28"/>
        </w:rPr>
        <w:t>Ủy ban nhân dân cấp có thẩm quyền thu hồi đất ban hành quyết định thu hồi đất trong thời hạn 10 ngày kể từ ngày:</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Phê duyệt phương án bồi thường, hỗ trợ, tái định cư đối với trường hợp không phải bố trí tái định cư;</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Người có đất thu hồi được bố trí tái định cư tại chỗ và đồng ý nhận tiền bồi thường chi phí tạm cư;</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Người có đất thu hồi đã được cơ quan có thẩm quyền giao đất, bàn giao đất trên thực địa để tự xây dựng nhà ở tái định cư;</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Người có đất thu hồi đã được cơ quan nhà nước có thẩm quyền bàn giao nhà ở tái định cư;</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Người có đất thu hồi đã được cơ quan nhà nước có thẩm quyền bàn giao đất ở gắn liền với nhà ở tái định cư;</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Người có đất thu hồi đồng ý và đã nhận tiền bồi thường để tự lo chỗ ở;</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Người có đất thu hồi tự nguyện bàn giao đất cho Nhà nước và đã được bố trí tạm cư hoặc được chi trả kinh phí tạm cư.</w:t>
      </w:r>
    </w:p>
    <w:p w:rsidR="00896EE7" w:rsidRPr="00C614A2" w:rsidRDefault="00896EE7" w:rsidP="00C614A2">
      <w:pPr>
        <w:pStyle w:val="Heading4"/>
        <w:spacing w:before="120" w:after="120" w:line="288" w:lineRule="auto"/>
        <w:ind w:firstLine="720"/>
        <w:jc w:val="both"/>
        <w:textAlignment w:val="baseline"/>
        <w:rPr>
          <w:rFonts w:ascii="Times New Roman" w:hAnsi="Times New Roman" w:cs="Times New Roman"/>
          <w:color w:val="333333"/>
          <w:szCs w:val="28"/>
        </w:rPr>
      </w:pPr>
      <w:r w:rsidRPr="00C614A2">
        <w:rPr>
          <w:rFonts w:ascii="Times New Roman" w:hAnsi="Times New Roman" w:cs="Times New Roman"/>
          <w:color w:val="333333"/>
          <w:szCs w:val="28"/>
        </w:rPr>
        <w:t>Trường hợp cơ quan nhà nước có thẩm quyền tổ chức thực hiện phương án bồi thường, hỗ trợ, tái định cư đã được cơ quan có thẩm quyền phê duyệt mà người có đất thu hồi không đồng ý hoặc không phối hợp thì thực hiện như sau:</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Ủy ban nhân dân cấp xã chủ trì, phối hợp với Ủy ban Mặt trận Tổ quốc Việt Nam cấp xã nơi có đất thu hồi và đơn vị, tổ chức thực hiện nhiệm vụ bồi thường, hỗ trợ, tái định cư vận động, thuyết phục để tạo sự đồng thuận trong thực hiện;</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Việc tổ chức vận động, thuyết phục được tiến hành trong thời gian 10 ngày và phải được thể hiện bằng văn bản. Quá thời hạn 10 ngày kể từ ngày kết thúc vận động, thuyết phục mà người có đất thu hồi vẫn không đồng ý hoặc không phối hợp thực hiện thì Ủy ban nhân dân cấp có thẩm quyền ban hành quyết định thu hồi đất.</w:t>
      </w:r>
    </w:p>
    <w:p w:rsidR="00896EE7" w:rsidRPr="00C614A2" w:rsidRDefault="00896EE7" w:rsidP="00C614A2">
      <w:pPr>
        <w:pStyle w:val="Heading4"/>
        <w:spacing w:before="120" w:after="120" w:line="288" w:lineRule="auto"/>
        <w:ind w:firstLine="720"/>
        <w:jc w:val="both"/>
        <w:textAlignment w:val="baseline"/>
        <w:rPr>
          <w:rFonts w:ascii="Times New Roman" w:hAnsi="Times New Roman" w:cs="Times New Roman"/>
          <w:color w:val="333333"/>
          <w:szCs w:val="28"/>
        </w:rPr>
      </w:pPr>
      <w:r w:rsidRPr="00C614A2">
        <w:rPr>
          <w:rFonts w:ascii="Times New Roman" w:hAnsi="Times New Roman" w:cs="Times New Roman"/>
          <w:color w:val="333333"/>
          <w:szCs w:val="28"/>
        </w:rPr>
        <w:lastRenderedPageBreak/>
        <w:t>Trường hợp người có đất thu hồi, chủ sở hữu tài sản gắn liền với đất, người có quyền lợi và nghĩa vụ liên quan không bàn giao đất cho đơn vị, tổ chức thực hiện nhiệm vụ bồi thường, hỗ trợ, tái định cư thi thực hiện như sau:</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 xml:space="preserve"> Ủy ban nhân dân cấp xã chủ trì, phối hợp với Ủy ban Mặt trận Tổ quốc Việt Nam cấp xã nơi có đất thu hồi và đơn vị, tổ chức thực hiện nhiệm vụ bồi thường, hỗ trợ, tái định cư vận động, thuyết phục để người có đất thu hồi, chủ sở hữu tài sản gắn liền với đất, người có quyền lợi và nghĩa vụ liên quan bàn giao đất cho đơn vị, tổ chức thực hiện nhiệm vụ bồi thường, hỗ trợ, tái định cư;</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Việc tổ chức vận động, thuyết phục được tiến hành trong thời gian 10 ngày và phải được thể hiện bằng văn bản. Quá thời hạn 10 ngày kể từ ngày kết thúc vận động, thuyết phục mà người có đất thu hồi vẫn không chấp hành việc bàn giao đất cho đơn vị, tổ chức thực hiện nhiệm vụ bồi thường, hỗ trợ, tái định cư thì Chủ tịch Ủy ban nhân dân cấp huyện ban hành quyết định cưỡng chế thu hồi đất và tổ chức thực hiện việc cưỡng chế theo quy định tại Điều 89 của Luật này.</w:t>
      </w:r>
    </w:p>
    <w:p w:rsidR="00896EE7" w:rsidRPr="00C614A2" w:rsidRDefault="00896EE7" w:rsidP="00C614A2">
      <w:pPr>
        <w:pStyle w:val="NormalWeb"/>
        <w:spacing w:before="120" w:beforeAutospacing="0" w:after="120" w:afterAutospacing="0" w:line="288" w:lineRule="auto"/>
        <w:ind w:firstLine="720"/>
        <w:jc w:val="both"/>
        <w:textAlignment w:val="baseline"/>
        <w:rPr>
          <w:color w:val="333333"/>
          <w:sz w:val="28"/>
          <w:szCs w:val="28"/>
        </w:rPr>
      </w:pPr>
      <w:r w:rsidRPr="00C614A2">
        <w:rPr>
          <w:color w:val="333333"/>
          <w:sz w:val="28"/>
          <w:szCs w:val="28"/>
        </w:rPr>
        <w:t>Tổ chức phát triển quỹ đất, Ủy ban nhân dân cấp xã có trách nhiệm quản lý đất đã được thu hồi trong khi chưa giao đất, cho thuê đất theo quy định tại khoản 5 Điều 86 của Luật này.</w:t>
      </w:r>
    </w:p>
    <w:p w:rsidR="00896EE7" w:rsidRDefault="00896EE7" w:rsidP="00896EE7">
      <w:pPr>
        <w:pStyle w:val="NormalWeb"/>
        <w:spacing w:before="120" w:beforeAutospacing="0" w:after="120" w:afterAutospacing="0"/>
        <w:ind w:firstLine="720"/>
        <w:jc w:val="both"/>
        <w:textAlignment w:val="baseline"/>
        <w:rPr>
          <w:rFonts w:ascii="Noto Serif" w:hAnsi="Noto Serif"/>
          <w:color w:val="333333"/>
        </w:rPr>
      </w:pPr>
      <w:r>
        <w:rPr>
          <w:rFonts w:ascii="Noto Serif" w:hAnsi="Noto Serif"/>
          <w:color w:val="333333"/>
        </w:rPr>
        <w:t> </w:t>
      </w:r>
    </w:p>
    <w:p w:rsidR="00896EE7" w:rsidRPr="00896EE7" w:rsidRDefault="00896EE7" w:rsidP="00896EE7">
      <w:pPr>
        <w:spacing w:before="120" w:after="120" w:line="240" w:lineRule="auto"/>
        <w:jc w:val="both"/>
        <w:textAlignment w:val="baseline"/>
        <w:outlineLvl w:val="1"/>
        <w:rPr>
          <w:rFonts w:ascii="Noto Serif" w:eastAsia="Times New Roman" w:hAnsi="Noto Serif"/>
          <w:b/>
          <w:bCs/>
          <w:color w:val="333333"/>
          <w:sz w:val="45"/>
          <w:szCs w:val="45"/>
        </w:rPr>
      </w:pPr>
    </w:p>
    <w:p w:rsidR="003E428B" w:rsidRDefault="003E428B" w:rsidP="00896EE7">
      <w:pPr>
        <w:jc w:val="both"/>
      </w:pPr>
    </w:p>
    <w:sectPr w:rsidR="003E428B" w:rsidSect="00C614A2">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Noto 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E7"/>
    <w:rsid w:val="003E428B"/>
    <w:rsid w:val="00461B19"/>
    <w:rsid w:val="007D263B"/>
    <w:rsid w:val="00896EE7"/>
    <w:rsid w:val="00C614A2"/>
    <w:rsid w:val="00FB7F07"/>
    <w:rsid w:val="00FC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paragraph" w:styleId="Heading2">
    <w:name w:val="heading 2"/>
    <w:basedOn w:val="Normal"/>
    <w:link w:val="Heading2Char"/>
    <w:uiPriority w:val="9"/>
    <w:qFormat/>
    <w:rsid w:val="00896EE7"/>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next w:val="Normal"/>
    <w:link w:val="Heading4Char"/>
    <w:uiPriority w:val="9"/>
    <w:semiHidden/>
    <w:unhideWhenUsed/>
    <w:qFormat/>
    <w:rsid w:val="00896E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 w:type="character" w:customStyle="1" w:styleId="Heading2Char">
    <w:name w:val="Heading 2 Char"/>
    <w:basedOn w:val="DefaultParagraphFont"/>
    <w:link w:val="Heading2"/>
    <w:uiPriority w:val="9"/>
    <w:rsid w:val="00896EE7"/>
    <w:rPr>
      <w:rFonts w:eastAsia="Times New Roman"/>
      <w:b/>
      <w:bCs/>
      <w:sz w:val="36"/>
      <w:szCs w:val="36"/>
    </w:rPr>
  </w:style>
  <w:style w:type="character" w:customStyle="1" w:styleId="Heading4Char">
    <w:name w:val="Heading 4 Char"/>
    <w:basedOn w:val="DefaultParagraphFont"/>
    <w:link w:val="Heading4"/>
    <w:uiPriority w:val="9"/>
    <w:semiHidden/>
    <w:rsid w:val="00896EE7"/>
    <w:rPr>
      <w:rFonts w:asciiTheme="majorHAnsi" w:eastAsiaTheme="majorEastAsia" w:hAnsiTheme="majorHAnsi" w:cstheme="majorBidi"/>
      <w:b/>
      <w:bCs/>
      <w:i/>
      <w:iCs/>
      <w:color w:val="4F81BD" w:themeColor="accent1"/>
      <w:sz w:val="28"/>
      <w:szCs w:val="22"/>
    </w:rPr>
  </w:style>
  <w:style w:type="paragraph" w:styleId="NormalWeb">
    <w:name w:val="Normal (Web)"/>
    <w:basedOn w:val="Normal"/>
    <w:uiPriority w:val="99"/>
    <w:semiHidden/>
    <w:unhideWhenUsed/>
    <w:rsid w:val="00896EE7"/>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paragraph" w:styleId="Heading2">
    <w:name w:val="heading 2"/>
    <w:basedOn w:val="Normal"/>
    <w:link w:val="Heading2Char"/>
    <w:uiPriority w:val="9"/>
    <w:qFormat/>
    <w:rsid w:val="00896EE7"/>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next w:val="Normal"/>
    <w:link w:val="Heading4Char"/>
    <w:uiPriority w:val="9"/>
    <w:semiHidden/>
    <w:unhideWhenUsed/>
    <w:qFormat/>
    <w:rsid w:val="00896E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 w:type="character" w:customStyle="1" w:styleId="Heading2Char">
    <w:name w:val="Heading 2 Char"/>
    <w:basedOn w:val="DefaultParagraphFont"/>
    <w:link w:val="Heading2"/>
    <w:uiPriority w:val="9"/>
    <w:rsid w:val="00896EE7"/>
    <w:rPr>
      <w:rFonts w:eastAsia="Times New Roman"/>
      <w:b/>
      <w:bCs/>
      <w:sz w:val="36"/>
      <w:szCs w:val="36"/>
    </w:rPr>
  </w:style>
  <w:style w:type="character" w:customStyle="1" w:styleId="Heading4Char">
    <w:name w:val="Heading 4 Char"/>
    <w:basedOn w:val="DefaultParagraphFont"/>
    <w:link w:val="Heading4"/>
    <w:uiPriority w:val="9"/>
    <w:semiHidden/>
    <w:rsid w:val="00896EE7"/>
    <w:rPr>
      <w:rFonts w:asciiTheme="majorHAnsi" w:eastAsiaTheme="majorEastAsia" w:hAnsiTheme="majorHAnsi" w:cstheme="majorBidi"/>
      <w:b/>
      <w:bCs/>
      <w:i/>
      <w:iCs/>
      <w:color w:val="4F81BD" w:themeColor="accent1"/>
      <w:sz w:val="28"/>
      <w:szCs w:val="22"/>
    </w:rPr>
  </w:style>
  <w:style w:type="paragraph" w:styleId="NormalWeb">
    <w:name w:val="Normal (Web)"/>
    <w:basedOn w:val="Normal"/>
    <w:uiPriority w:val="99"/>
    <w:semiHidden/>
    <w:unhideWhenUsed/>
    <w:rsid w:val="00896EE7"/>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74693">
      <w:bodyDiv w:val="1"/>
      <w:marLeft w:val="0"/>
      <w:marRight w:val="0"/>
      <w:marTop w:val="0"/>
      <w:marBottom w:val="0"/>
      <w:divBdr>
        <w:top w:val="none" w:sz="0" w:space="0" w:color="auto"/>
        <w:left w:val="none" w:sz="0" w:space="0" w:color="auto"/>
        <w:bottom w:val="none" w:sz="0" w:space="0" w:color="auto"/>
        <w:right w:val="none" w:sz="0" w:space="0" w:color="auto"/>
      </w:divBdr>
    </w:div>
    <w:div w:id="100991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2024-03-26T07:52:00Z</dcterms:created>
  <dcterms:modified xsi:type="dcterms:W3CDTF">2024-03-29T07:41:00Z</dcterms:modified>
</cp:coreProperties>
</file>